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DO ARTIGO</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artigo em inglês ou espanhol</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 1, titulação, função, Instituição</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 2, titulação, função, Instituição</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9">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Este espaço é para inserir o resumo do artigo em Português e em mais uma língua (Inglês, Espanhol, Francês ou Italiano). Texto de 150 a 200 palavras, em parágrafo único, com 5 palavras-chave, fonte Times New Roman; corpo 12; alinhamento justificado; entrelinhas simples. O termo RESUMO deve estar em caixa alta e sem negrito. Este espaço é para inserir o resumo do artigo em Português e em mais uma língua (Inglês, Espanhol, Francês ou Italiano). Texto de 150 a 200 palavras, em parágrafo único, com 5 palavras-chave, fonte Times New Roman; corpo 12; alinhamento justificado; entrelinhas simples. O termo RESUMO deve estar em caixa alta e sem negrito.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Termo1; Termo2; Termo3.</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Este espaço é para inserir o resumo do artigo em Português e em mais uma língua (Inglês, Espanhol, Francês ou Italiano). Texto de 150 a 200 palavras, em parágrafo único, com 5 palavras-chave, fonte Times New Roman; corpo 12; alinhamento justificado; entrelinhas simples. O termo RESUMO deve estar em caixa alta e sem negrito. Este espaço é para inserir o resumo do artigo em Português e em mais uma língua (Inglês, Espanhol, Francês ou Italiano). Texto de 150 a 200 palavras, em parágrafo único, com 5 palavras-chave, fonte Times New Roman; corpo 12; alinhamento justificado; entrelinhas simples. O termo RESUMO deve estar em caixa alta e sem negrito.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Termo1; Termo2; Termo3.</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92.72727272727275"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Atenção: recomendamos fortemente que as autoras e os autores usem o presente modelo com todas as suas formatações de fonte, margens, espaçamentos e demais regras. Para tanto, basta substituir os conteúdos de cada parte, começando pelo título, resumo, palavras-chave etc.</w:t>
      </w:r>
    </w:p>
    <w:p w:rsidR="00000000" w:rsidDel="00000000" w:rsidP="00000000" w:rsidRDefault="00000000" w:rsidRPr="00000000" w14:paraId="00000017">
      <w:pPr>
        <w:spacing w:line="392.72727272727275"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caso desta seção primária (títulos principais) em específico: Título da seção em fonte Times New Roman 12, maiúsculas, alinhamento à esquerda, negrito, espaçamento 1,5. Conteúdo da seção em fonte Times New Roman 12, espaçamento 1,5 e parágrafos com recuo de 1,25.</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SEÇÃO DE DESENVOLVIMENTO</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392.72727272727275"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Redação do texto com conteúdo da seção em fonte Times New Roman 12, espaçamento 1,5, parágrafos com recuo 1,25. Continuação da redação do texto com conteúdo da seção em fonte Times New Roman 12, espaçamento 1,5, parágrafos com recuo 1,25.</w:t>
      </w:r>
    </w:p>
    <w:p w:rsidR="00000000" w:rsidDel="00000000" w:rsidP="00000000" w:rsidRDefault="00000000" w:rsidRPr="00000000" w14:paraId="0000001C">
      <w:pPr>
        <w:spacing w:before="140" w:line="360" w:lineRule="auto"/>
        <w:ind w:right="1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completo, incluindo título, resumo e lista de referências, deve ter entre 8 a 12 páginas.</w:t>
      </w:r>
    </w:p>
    <w:p w:rsidR="00000000" w:rsidDel="00000000" w:rsidP="00000000" w:rsidRDefault="00000000" w:rsidRPr="00000000" w14:paraId="0000001D">
      <w:pPr>
        <w:spacing w:line="324.00000000000006" w:lineRule="auto"/>
        <w:ind w:left="108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Citações diretas curtas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de até três linhas): devem integrar o corpo do texto, ser assinaladas entre aspas, sem itálico, e seguidas da indicação da chamada autor/data – sobrenome do autor, data da publicação, página, ou localização, se houver, entre parêntesis, p. ex.: (Sartre, 1988, p. 49), (Brasil, 1998, cap. V, art. 49, inc. I), (Dongo-Montoya, 2009, p. 264).</w:t>
      </w:r>
    </w:p>
    <w:p w:rsidR="00000000" w:rsidDel="00000000" w:rsidP="00000000" w:rsidRDefault="00000000" w:rsidRPr="00000000" w14:paraId="0000001E">
      <w:pPr>
        <w:spacing w:before="20" w:line="392.7272727272727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line="324.00000000000006"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 1</w:t>
      </w:r>
      <w:r w:rsidDel="00000000" w:rsidR="00000000" w:rsidRPr="00000000">
        <w:rPr>
          <w:rFonts w:ascii="Times New Roman" w:cs="Times New Roman" w:eastAsia="Times New Roman" w:hAnsi="Times New Roman"/>
          <w:sz w:val="24"/>
          <w:szCs w:val="24"/>
          <w:rtl w:val="0"/>
        </w:rPr>
        <w:t xml:space="preserve">.: Deve-se repetir a norma para toda citação, mesmo para referência já utilizada; não utilizar ‘</w:t>
      </w:r>
      <w:r w:rsidDel="00000000" w:rsidR="00000000" w:rsidRPr="00000000">
        <w:rPr>
          <w:rFonts w:ascii="Times New Roman" w:cs="Times New Roman" w:eastAsia="Times New Roman" w:hAnsi="Times New Roman"/>
          <w:i w:val="1"/>
          <w:sz w:val="24"/>
          <w:szCs w:val="24"/>
          <w:rtl w:val="0"/>
        </w:rPr>
        <w:t xml:space="preserve">idem</w:t>
      </w:r>
      <w:r w:rsidDel="00000000" w:rsidR="00000000" w:rsidRPr="00000000">
        <w:rPr>
          <w:rFonts w:ascii="Times New Roman" w:cs="Times New Roman" w:eastAsia="Times New Roman" w:hAnsi="Times New Roman"/>
          <w:sz w:val="24"/>
          <w:szCs w:val="24"/>
          <w:rtl w:val="0"/>
        </w:rPr>
        <w:t xml:space="preserve">’ ou similares.</w:t>
      </w:r>
    </w:p>
    <w:p w:rsidR="00000000" w:rsidDel="00000000" w:rsidP="00000000" w:rsidRDefault="00000000" w:rsidRPr="00000000" w14:paraId="00000020">
      <w:pPr>
        <w:spacing w:line="324.00000000000006"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80" w:line="324.00000000000006"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 2</w:t>
      </w:r>
      <w:r w:rsidDel="00000000" w:rsidR="00000000" w:rsidRPr="00000000">
        <w:rPr>
          <w:rFonts w:ascii="Times New Roman" w:cs="Times New Roman" w:eastAsia="Times New Roman" w:hAnsi="Times New Roman"/>
          <w:sz w:val="24"/>
          <w:szCs w:val="24"/>
          <w:rtl w:val="0"/>
        </w:rPr>
        <w:t xml:space="preserve">.: havendo duas ou mais obras citadas do mesmo autor e ano, indicar, após a data, a letra “a” para a primeira e a letra “b” para a segunda citação, e assim sucessivamente. Ex.: (Marx, 1964a, p. 81), (Marx, 1964b, p. 112).</w:t>
      </w:r>
    </w:p>
    <w:p w:rsidR="00000000" w:rsidDel="00000000" w:rsidP="00000000" w:rsidRDefault="00000000" w:rsidRPr="00000000" w14:paraId="00000022">
      <w:pPr>
        <w:spacing w:before="20" w:line="392.7272727272727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line="324.00000000000006"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as citações cujo texto foi traduzido pelo autor do artigo deve-se incluir, ao final da chamada da citação, a expressão </w:t>
      </w:r>
      <w:r w:rsidDel="00000000" w:rsidR="00000000" w:rsidRPr="00000000">
        <w:rPr>
          <w:rFonts w:ascii="Times New Roman" w:cs="Times New Roman" w:eastAsia="Times New Roman" w:hAnsi="Times New Roman"/>
          <w:b w:val="1"/>
          <w:sz w:val="24"/>
          <w:szCs w:val="24"/>
          <w:rtl w:val="0"/>
        </w:rPr>
        <w:t xml:space="preserve">tradução nossa </w:t>
      </w:r>
      <w:r w:rsidDel="00000000" w:rsidR="00000000" w:rsidRPr="00000000">
        <w:rPr>
          <w:rFonts w:ascii="Times New Roman" w:cs="Times New Roman" w:eastAsia="Times New Roman" w:hAnsi="Times New Roman"/>
          <w:sz w:val="24"/>
          <w:szCs w:val="24"/>
          <w:rtl w:val="0"/>
        </w:rPr>
        <w:t xml:space="preserve">ou </w:t>
      </w:r>
      <w:r w:rsidDel="00000000" w:rsidR="00000000" w:rsidRPr="00000000">
        <w:rPr>
          <w:rFonts w:ascii="Times New Roman" w:cs="Times New Roman" w:eastAsia="Times New Roman" w:hAnsi="Times New Roman"/>
          <w:b w:val="1"/>
          <w:sz w:val="24"/>
          <w:szCs w:val="24"/>
          <w:rtl w:val="0"/>
        </w:rPr>
        <w:t xml:space="preserve">tradução própria </w:t>
      </w:r>
      <w:r w:rsidDel="00000000" w:rsidR="00000000" w:rsidRPr="00000000">
        <w:rPr>
          <w:rFonts w:ascii="Times New Roman" w:cs="Times New Roman" w:eastAsia="Times New Roman" w:hAnsi="Times New Roman"/>
          <w:sz w:val="24"/>
          <w:szCs w:val="24"/>
          <w:rtl w:val="0"/>
        </w:rPr>
        <w:t xml:space="preserve">dentro dos parêntesis, sem negrito. Ex.:</w:t>
      </w:r>
    </w:p>
    <w:p w:rsidR="00000000" w:rsidDel="00000000" w:rsidP="00000000" w:rsidRDefault="00000000" w:rsidRPr="00000000" w14:paraId="00000024">
      <w:pPr>
        <w:spacing w:line="324.00000000000006"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ind w:left="2267.71653543307" w:right="1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Só o aparelho emocional permite dar peso a diversas soluções que exigem uma decisão. Se este aparelho permanecer mudo, as decisões tornam - se indiferentes: tudo é tão bom como tudo o resto, por isso nada vale nada. A perturbação da autoafetividade cerebral produz no paciente uma espécie de niilismo, uma indiferença absoluta, uma frieza que aniquila visivelmente toda diferença e toda dimensionalidade (Malabou, 2022, p. 271, tradução nossa).</w:t>
      </w:r>
    </w:p>
    <w:p w:rsidR="00000000" w:rsidDel="00000000" w:rsidP="00000000" w:rsidRDefault="00000000" w:rsidRPr="00000000" w14:paraId="00000026">
      <w:pPr>
        <w:spacing w:before="120" w:line="392.7272727272727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324.00000000000006" w:lineRule="auto"/>
        <w:ind w:left="108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b w:val="1"/>
          <w:sz w:val="24"/>
          <w:szCs w:val="24"/>
          <w:rtl w:val="0"/>
        </w:rPr>
        <w:t xml:space="preserve">Citações longas </w:t>
      </w:r>
      <w:r w:rsidDel="00000000" w:rsidR="00000000" w:rsidRPr="00000000">
        <w:rPr>
          <w:rFonts w:ascii="Times New Roman" w:cs="Times New Roman" w:eastAsia="Times New Roman" w:hAnsi="Times New Roman"/>
          <w:sz w:val="24"/>
          <w:szCs w:val="24"/>
          <w:rtl w:val="0"/>
        </w:rPr>
        <w:t xml:space="preserve">(de quatro linhas a mais): devem constituir um parágrafo independente, recuado a 4 cm da margem esquerda, com letra tamanho 10, espaço simples e sem aspas, acompanhadas da chamada: sobrenome do autor, data da publicação página ou localização, se houver, entre parêntesis.</w:t>
      </w:r>
    </w:p>
    <w:p w:rsidR="00000000" w:rsidDel="00000000" w:rsidP="00000000" w:rsidRDefault="00000000" w:rsidRPr="00000000" w14:paraId="00000028">
      <w:pPr>
        <w:spacing w:before="20" w:line="392.7272727272727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324.00000000000006"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w:t>
      </w:r>
      <w:r w:rsidDel="00000000" w:rsidR="00000000" w:rsidRPr="00000000">
        <w:rPr>
          <w:rFonts w:ascii="Times New Roman" w:cs="Times New Roman" w:eastAsia="Times New Roman" w:hAnsi="Times New Roman"/>
          <w:sz w:val="24"/>
          <w:szCs w:val="24"/>
          <w:rtl w:val="0"/>
        </w:rPr>
        <w:t xml:space="preserve">.: “O ponto final deve ser usado para encerrar a frase e não a citação” (NBR 10520, 2023). Exemplo: “[...] todo processo de seleção deverá ser imparcial” (Carvalho, 1977, p. 15).</w:t>
      </w:r>
    </w:p>
    <w:p w:rsidR="00000000" w:rsidDel="00000000" w:rsidP="00000000" w:rsidRDefault="00000000" w:rsidRPr="00000000" w14:paraId="0000002A">
      <w:pPr>
        <w:spacing w:before="20" w:line="392.7272727272727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324.00000000000006" w:lineRule="auto"/>
        <w:ind w:left="108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Citação de fonte secundária – citação de citação </w:t>
      </w:r>
      <w:r w:rsidDel="00000000" w:rsidR="00000000" w:rsidRPr="00000000">
        <w:rPr>
          <w:rFonts w:ascii="Times New Roman" w:cs="Times New Roman" w:eastAsia="Times New Roman" w:hAnsi="Times New Roman"/>
          <w:sz w:val="24"/>
          <w:szCs w:val="24"/>
          <w:rtl w:val="0"/>
        </w:rPr>
        <w:t xml:space="preserve">(quando inevitável): citar os autores dos dois textos: data e página do autor do documento original, se houver, a expressão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seguida dos dados da fonte consultada. Ex.: (Andersen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Marx, 1968, p. 23). Se no corpo do texto: Andersen citado por Marx (1968, p. 23). Para as citações indiretas (livres) a informação da página é opcional: (Sartre, 1988).</w:t>
      </w:r>
    </w:p>
    <w:p w:rsidR="00000000" w:rsidDel="00000000" w:rsidP="00000000" w:rsidRDefault="00000000" w:rsidRPr="00000000" w14:paraId="0000002C">
      <w:pPr>
        <w:spacing w:before="120" w:line="392.7272727272727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324.00000000000006" w:lineRule="auto"/>
        <w:ind w:left="108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b w:val="1"/>
          <w:sz w:val="24"/>
          <w:szCs w:val="24"/>
          <w:rtl w:val="0"/>
        </w:rPr>
        <w:t xml:space="preserve">As notas explicativas </w:t>
      </w:r>
      <w:r w:rsidDel="00000000" w:rsidR="00000000" w:rsidRPr="00000000">
        <w:rPr>
          <w:rFonts w:ascii="Times New Roman" w:cs="Times New Roman" w:eastAsia="Times New Roman" w:hAnsi="Times New Roman"/>
          <w:sz w:val="24"/>
          <w:szCs w:val="24"/>
          <w:rtl w:val="0"/>
        </w:rPr>
        <w:t xml:space="preserve">devem ser inseridas no rodapé; </w:t>
      </w:r>
      <w:r w:rsidDel="00000000" w:rsidR="00000000" w:rsidRPr="00000000">
        <w:rPr>
          <w:rFonts w:ascii="Times New Roman" w:cs="Times New Roman" w:eastAsia="Times New Roman" w:hAnsi="Times New Roman"/>
          <w:b w:val="1"/>
          <w:sz w:val="24"/>
          <w:szCs w:val="24"/>
          <w:u w:val="single"/>
          <w:rtl w:val="0"/>
        </w:rPr>
        <w:t xml:space="preserve">não devem ser utilizadas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para referência de obras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Título da subseção (se houver)</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92.72727272727275"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Título da subseção em fonte Times New Roman 12, alinhamento à esquerda, espaçamento 1,5 cm. Conteúdo da subseção em fonte Times New Roman 12, espaçamento 1,5 e parágrafos com recuo 1,25.</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CONSIDERAÇÕES FINAIS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92.72727272727275"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Redação do texto com conteúdo da seção em fonte Times New Roman 12, espaçamento 1,5, parágrafos com recuo 1,25. Continuação da redação do texto com conteúdo da seção em fonte Times New Roman 12, espaçamento 1,5, parágrafos com recuo 1,25. Continuação da redação do texto com conteúdo da seção em fonte Times New Roman 12, espaçamento 1,5, parágrafos com recuo 1,25.</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REFERÊNCIAS</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alinhamento à esquerda;</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espaço simples;</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ordem alfabética;</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deixar uma linha em branco entre cada obra.</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não usar travessão para indicar obras de mesma autoria – repetir o sobrenome e o nome do(s) autor(es).</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Exemplo: </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LEITE, José Rubens Morato; AYALA, Patryck de Araújo. </w:t>
      </w:r>
      <w:r w:rsidDel="00000000" w:rsidR="00000000" w:rsidRPr="00000000">
        <w:rPr>
          <w:rFonts w:ascii="Times New Roman" w:cs="Times New Roman" w:eastAsia="Times New Roman" w:hAnsi="Times New Roman"/>
          <w:b w:val="1"/>
          <w:sz w:val="24"/>
          <w:szCs w:val="24"/>
          <w:rtl w:val="0"/>
        </w:rPr>
        <w:t xml:space="preserve">Direito ambiental na sociedade de risco. </w:t>
      </w:r>
      <w:r w:rsidDel="00000000" w:rsidR="00000000" w:rsidRPr="00000000">
        <w:rPr>
          <w:rFonts w:ascii="Times New Roman" w:cs="Times New Roman" w:eastAsia="Times New Roman" w:hAnsi="Times New Roman"/>
          <w:sz w:val="24"/>
          <w:szCs w:val="24"/>
          <w:rtl w:val="0"/>
        </w:rPr>
        <w:t xml:space="preserve">Rio de Janeiro: Forense, 2004.</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LEITE, José Rubens Morato. </w:t>
      </w:r>
      <w:r w:rsidDel="00000000" w:rsidR="00000000" w:rsidRPr="00000000">
        <w:rPr>
          <w:rFonts w:ascii="Times New Roman" w:cs="Times New Roman" w:eastAsia="Times New Roman" w:hAnsi="Times New Roman"/>
          <w:b w:val="1"/>
          <w:sz w:val="24"/>
          <w:szCs w:val="24"/>
          <w:rtl w:val="0"/>
        </w:rPr>
        <w:t xml:space="preserve">Dano ambiental: </w:t>
      </w:r>
      <w:r w:rsidDel="00000000" w:rsidR="00000000" w:rsidRPr="00000000">
        <w:rPr>
          <w:rFonts w:ascii="Times New Roman" w:cs="Times New Roman" w:eastAsia="Times New Roman" w:hAnsi="Times New Roman"/>
          <w:sz w:val="24"/>
          <w:szCs w:val="24"/>
          <w:rtl w:val="0"/>
        </w:rPr>
        <w:t xml:space="preserve">do individual ao coletivo extrapatrimonial. São Paulo: Revista dos Tribunais, 2000.</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LEITE, José Rubens Morato. Dano extrapatrimonial ou moral ambiental e sua perspectiva no direito brasileiro. In: MILARÉ, Edis (Coord.).</w:t>
      </w:r>
      <w:r w:rsidDel="00000000" w:rsidR="00000000" w:rsidRPr="00000000">
        <w:rPr>
          <w:rFonts w:ascii="Times New Roman" w:cs="Times New Roman" w:eastAsia="Times New Roman" w:hAnsi="Times New Roman"/>
          <w:b w:val="1"/>
          <w:sz w:val="24"/>
          <w:szCs w:val="24"/>
          <w:rtl w:val="0"/>
        </w:rPr>
        <w:t xml:space="preserve"> Ação Civil Pública:</w:t>
      </w:r>
      <w:r w:rsidDel="00000000" w:rsidR="00000000" w:rsidRPr="00000000">
        <w:rPr>
          <w:rFonts w:ascii="Times New Roman" w:cs="Times New Roman" w:eastAsia="Times New Roman" w:hAnsi="Times New Roman"/>
          <w:sz w:val="24"/>
          <w:szCs w:val="24"/>
          <w:rtl w:val="0"/>
        </w:rPr>
        <w:t xml:space="preserve"> Lei 7.347/1985 – 15 anos. São Paulo: Revista dos Tribunais, 2001.</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8" w:w="11906" w:orient="portrait"/>
      <w:pgMar w:bottom="1133.8582677165355" w:top="1700.7874015748032" w:left="1700.7874015748032" w:right="1133.8582677165355" w:header="283.464566929133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Biografia do(a) autor(a) com informações sobre formação, vínculo institucional e e-mail para contato. </w:t>
      </w:r>
    </w:p>
  </w:footnote>
  <w:footnote w:id="1">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Biografia do(a) autor(a) com informações sobre formação, vínculo institucional e e-mail para contato. </w:t>
      </w:r>
    </w:p>
    <w:p w:rsidR="00000000" w:rsidDel="00000000" w:rsidP="00000000" w:rsidRDefault="00000000" w:rsidRPr="00000000" w14:paraId="0000004F">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-1095374</wp:posOffset>
          </wp:positionH>
          <wp:positionV relativeFrom="paragraph">
            <wp:posOffset>-209699</wp:posOffset>
          </wp:positionV>
          <wp:extent cx="7610471" cy="842813"/>
          <wp:effectExtent b="0" l="0" r="0" t="0"/>
          <wp:wrapNone/>
          <wp:docPr id="1" name="image1.png"/>
          <a:graphic>
            <a:graphicData uri="http://schemas.openxmlformats.org/drawingml/2006/picture">
              <pic:pic>
                <pic:nvPicPr>
                  <pic:cNvPr id="0" name="image1.png"/>
                  <pic:cNvPicPr preferRelativeResize="0"/>
                </pic:nvPicPr>
                <pic:blipFill>
                  <a:blip r:embed="rId1"/>
                  <a:srcRect b="55639" l="0" r="0" t="0"/>
                  <a:stretch>
                    <a:fillRect/>
                  </a:stretch>
                </pic:blipFill>
                <pic:spPr>
                  <a:xfrm>
                    <a:off x="0" y="0"/>
                    <a:ext cx="7610471" cy="842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